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2B144F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2B144F">
        <w:rPr>
          <w:rFonts w:eastAsia="Calibri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D114A" w:rsidRPr="002B144F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2B144F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2"/>
        <w:tblW w:w="9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2B144F" w:rsidRPr="002B144F" w:rsidTr="00CF3E12">
        <w:trPr>
          <w:trHeight w:val="342"/>
          <w:jc w:val="center"/>
        </w:trPr>
        <w:tc>
          <w:tcPr>
            <w:tcW w:w="3072" w:type="dxa"/>
            <w:tcBorders>
              <w:bottom w:val="single" w:sz="4" w:space="0" w:color="auto"/>
            </w:tcBorders>
          </w:tcPr>
          <w:p w:rsidR="00CF3E12" w:rsidRPr="002B144F" w:rsidRDefault="00170918" w:rsidP="0017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E12" w:rsidRPr="002B144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B144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F3E12" w:rsidRPr="002B144F">
              <w:rPr>
                <w:rFonts w:ascii="Times New Roman" w:hAnsi="Times New Roman" w:cs="Times New Roman"/>
                <w:sz w:val="28"/>
                <w:szCs w:val="28"/>
              </w:rPr>
              <w:t xml:space="preserve">  2023 г.</w:t>
            </w:r>
          </w:p>
        </w:tc>
        <w:tc>
          <w:tcPr>
            <w:tcW w:w="3256" w:type="dxa"/>
          </w:tcPr>
          <w:p w:rsidR="00CF3E12" w:rsidRPr="002B144F" w:rsidRDefault="00CF3E12" w:rsidP="00CF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CF3E12" w:rsidRPr="002B144F" w:rsidRDefault="00CF3E12" w:rsidP="0017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0918" w:rsidRPr="002B144F">
              <w:rPr>
                <w:rFonts w:ascii="Times New Roman" w:hAnsi="Times New Roman" w:cs="Times New Roman"/>
                <w:sz w:val="28"/>
                <w:szCs w:val="28"/>
              </w:rPr>
              <w:t>66/45</w:t>
            </w:r>
            <w:r w:rsidR="005416BA" w:rsidRPr="002B1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0918" w:rsidRPr="002B144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CF3E12" w:rsidRPr="002B144F" w:rsidRDefault="00CF3E12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2B144F">
        <w:rPr>
          <w:rFonts w:eastAsia="Calibri" w:cs="Times New Roman"/>
          <w:szCs w:val="28"/>
        </w:rPr>
        <w:t>г. Калязин</w:t>
      </w:r>
      <w:r w:rsidRPr="002B144F"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170918" w:rsidRPr="002B144F" w:rsidRDefault="00170918" w:rsidP="003E6792">
      <w:pPr>
        <w:spacing w:after="240"/>
        <w:ind w:left="57" w:firstLine="709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2B144F">
        <w:rPr>
          <w:rFonts w:eastAsia="Times New Roman" w:cs="Times New Roman"/>
          <w:b/>
          <w:bCs/>
          <w:szCs w:val="20"/>
          <w:lang w:eastAsia="ru-RU"/>
        </w:rPr>
        <w:t xml:space="preserve">О Плане мероприятий по обучению членов избирательных комиссий и иных участников избирательного процесса при подготовке </w:t>
      </w:r>
      <w:r w:rsidRPr="002B144F">
        <w:rPr>
          <w:rFonts w:eastAsia="Times New Roman" w:cs="Times New Roman"/>
          <w:b/>
          <w:bCs/>
          <w:szCs w:val="20"/>
          <w:lang w:eastAsia="ru-RU"/>
        </w:rPr>
        <w:br/>
        <w:t xml:space="preserve">и проведении выборов Президента Российской Федерации </w:t>
      </w:r>
      <w:r w:rsidRPr="002B144F">
        <w:rPr>
          <w:rFonts w:eastAsia="Times New Roman" w:cs="Times New Roman"/>
          <w:b/>
          <w:bCs/>
          <w:szCs w:val="20"/>
          <w:lang w:eastAsia="ru-RU"/>
        </w:rPr>
        <w:br/>
        <w:t>17 марта 2024 года</w:t>
      </w:r>
    </w:p>
    <w:p w:rsidR="000D114A" w:rsidRPr="002B144F" w:rsidRDefault="003E6792" w:rsidP="00E50FFA">
      <w:pPr>
        <w:spacing w:line="360" w:lineRule="auto"/>
        <w:ind w:left="57" w:firstLine="709"/>
        <w:jc w:val="both"/>
        <w:rPr>
          <w:rFonts w:eastAsia="Times New Roman" w:cs="Times New Roman"/>
          <w:szCs w:val="28"/>
          <w:lang w:eastAsia="ru-RU"/>
        </w:rPr>
      </w:pPr>
      <w:r w:rsidRPr="002B144F">
        <w:rPr>
          <w:rFonts w:eastAsia="Times New Roman" w:cs="Times New Roman"/>
          <w:szCs w:val="28"/>
          <w:lang w:eastAsia="ru-RU"/>
        </w:rPr>
        <w:t xml:space="preserve">В соответствии с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 74/628-8, руководствуясь </w:t>
      </w:r>
      <w:r w:rsidR="00E5222B" w:rsidRPr="002B144F">
        <w:rPr>
          <w:rFonts w:eastAsia="Times New Roman" w:cs="Times New Roman"/>
          <w:szCs w:val="28"/>
          <w:lang w:eastAsia="ru-RU"/>
        </w:rPr>
        <w:t>подпункт</w:t>
      </w:r>
      <w:r w:rsidR="00504201" w:rsidRPr="002B144F">
        <w:rPr>
          <w:rFonts w:eastAsia="Times New Roman" w:cs="Times New Roman"/>
          <w:szCs w:val="28"/>
          <w:lang w:eastAsia="ru-RU"/>
        </w:rPr>
        <w:t>ами</w:t>
      </w:r>
      <w:r w:rsidR="00E5222B" w:rsidRPr="002B144F">
        <w:rPr>
          <w:rFonts w:eastAsia="Times New Roman" w:cs="Times New Roman"/>
          <w:szCs w:val="28"/>
          <w:lang w:eastAsia="ru-RU"/>
        </w:rPr>
        <w:t xml:space="preserve"> «в»</w:t>
      </w:r>
      <w:r w:rsidR="00541EA1" w:rsidRPr="002B144F">
        <w:rPr>
          <w:rFonts w:eastAsia="Times New Roman" w:cs="Times New Roman"/>
          <w:szCs w:val="28"/>
          <w:lang w:eastAsia="ru-RU"/>
        </w:rPr>
        <w:t>, «е»</w:t>
      </w:r>
      <w:r w:rsidR="00E5222B" w:rsidRPr="002B144F">
        <w:rPr>
          <w:rFonts w:eastAsia="Times New Roman" w:cs="Times New Roman"/>
          <w:szCs w:val="28"/>
          <w:lang w:eastAsia="ru-RU"/>
        </w:rPr>
        <w:t xml:space="preserve"> пункта 9 </w:t>
      </w:r>
      <w:r w:rsidR="000D114A" w:rsidRPr="002B144F">
        <w:rPr>
          <w:rFonts w:eastAsia="Times New Roman" w:cs="Times New Roman"/>
          <w:szCs w:val="28"/>
          <w:lang w:eastAsia="ru-RU"/>
        </w:rPr>
        <w:t>стат</w:t>
      </w:r>
      <w:r w:rsidR="00E5222B" w:rsidRPr="002B144F">
        <w:rPr>
          <w:rFonts w:eastAsia="Times New Roman" w:cs="Times New Roman"/>
          <w:szCs w:val="28"/>
          <w:lang w:eastAsia="ru-RU"/>
        </w:rPr>
        <w:t>ьи</w:t>
      </w:r>
      <w:r w:rsidR="000D114A" w:rsidRPr="002B144F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104158" w:rsidRPr="002B144F">
        <w:rPr>
          <w:spacing w:val="-6"/>
          <w:szCs w:val="28"/>
        </w:rPr>
        <w:t xml:space="preserve"> </w:t>
      </w:r>
      <w:r w:rsidR="00104158" w:rsidRPr="002B144F">
        <w:rPr>
          <w:szCs w:val="28"/>
        </w:rPr>
        <w:t xml:space="preserve">статьей </w:t>
      </w:r>
      <w:r w:rsidR="001C6590" w:rsidRPr="002B144F">
        <w:rPr>
          <w:szCs w:val="28"/>
        </w:rPr>
        <w:t>21</w:t>
      </w:r>
      <w:r w:rsidR="00104158" w:rsidRPr="002B144F">
        <w:rPr>
          <w:szCs w:val="28"/>
        </w:rPr>
        <w:t xml:space="preserve"> </w:t>
      </w:r>
      <w:r w:rsidR="00104158" w:rsidRPr="002B144F">
        <w:rPr>
          <w:spacing w:val="-6"/>
          <w:szCs w:val="28"/>
        </w:rPr>
        <w:t>Федерального закона от 10.01.2003 №19-ФЗ «О выборах Президента Российской Федерации»,</w:t>
      </w:r>
      <w:r w:rsidR="00104158" w:rsidRPr="002B144F">
        <w:rPr>
          <w:szCs w:val="28"/>
        </w:rPr>
        <w:t xml:space="preserve"> </w:t>
      </w:r>
      <w:r w:rsidR="00D961A5" w:rsidRPr="002B144F">
        <w:rPr>
          <w:rFonts w:eastAsia="Times New Roman" w:cs="Times New Roman"/>
          <w:szCs w:val="28"/>
          <w:lang w:eastAsia="ru-RU"/>
        </w:rPr>
        <w:t xml:space="preserve"> пунктом</w:t>
      </w:r>
      <w:r w:rsidR="00541EA1" w:rsidRPr="002B144F">
        <w:rPr>
          <w:rFonts w:eastAsia="Times New Roman" w:cs="Times New Roman"/>
          <w:szCs w:val="28"/>
          <w:lang w:eastAsia="ru-RU"/>
        </w:rPr>
        <w:t xml:space="preserve"> 1</w:t>
      </w:r>
      <w:r w:rsidR="0087017C" w:rsidRPr="002B144F">
        <w:rPr>
          <w:rFonts w:eastAsia="Times New Roman" w:cs="Times New Roman"/>
          <w:szCs w:val="28"/>
          <w:lang w:eastAsia="ru-RU"/>
        </w:rPr>
        <w:t>1</w:t>
      </w:r>
      <w:r w:rsidR="00541EA1" w:rsidRPr="002B144F">
        <w:rPr>
          <w:rFonts w:eastAsia="Times New Roman" w:cs="Times New Roman"/>
          <w:szCs w:val="28"/>
          <w:lang w:eastAsia="ru-RU"/>
        </w:rPr>
        <w:t xml:space="preserve"> статьи 22 Избирательного кодекса Тверской области от 07.04.2003 № 20-ЗО, </w:t>
      </w:r>
      <w:r w:rsidR="001C6590" w:rsidRPr="002B144F">
        <w:rPr>
          <w:rFonts w:eastAsia="Times New Roman" w:cs="Times New Roman"/>
          <w:szCs w:val="28"/>
          <w:lang w:eastAsia="ru-RU"/>
        </w:rPr>
        <w:t>постановлением</w:t>
      </w:r>
      <w:r w:rsidR="00E5222B" w:rsidRPr="002B144F">
        <w:rPr>
          <w:rFonts w:eastAsia="Times New Roman" w:cs="Times New Roman"/>
          <w:szCs w:val="28"/>
          <w:lang w:eastAsia="ru-RU"/>
        </w:rPr>
        <w:t xml:space="preserve"> избирательной комиссии Тверской области от </w:t>
      </w:r>
      <w:r w:rsidR="001C6590" w:rsidRPr="002B144F">
        <w:rPr>
          <w:rFonts w:eastAsia="Times New Roman" w:cs="Times New Roman"/>
          <w:szCs w:val="28"/>
          <w:lang w:eastAsia="ru-RU"/>
        </w:rPr>
        <w:t xml:space="preserve">22.12.2023 №114/1342-7 </w:t>
      </w:r>
      <w:r w:rsidR="00E5222B" w:rsidRPr="002B144F">
        <w:rPr>
          <w:rFonts w:eastAsia="Times New Roman" w:cs="Times New Roman"/>
          <w:szCs w:val="28"/>
          <w:lang w:eastAsia="ru-RU"/>
        </w:rPr>
        <w:t>«</w:t>
      </w:r>
      <w:r w:rsidR="001C6590" w:rsidRPr="002B144F">
        <w:rPr>
          <w:rFonts w:eastAsia="Times New Roman" w:cs="Times New Roman"/>
          <w:szCs w:val="28"/>
          <w:lang w:eastAsia="ru-RU"/>
        </w:rPr>
        <w:t>О Плане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</w:t>
      </w:r>
      <w:r w:rsidR="00E5222B" w:rsidRPr="002B144F">
        <w:rPr>
          <w:rFonts w:eastAsia="Times New Roman" w:cs="Times New Roman"/>
          <w:szCs w:val="28"/>
          <w:lang w:eastAsia="ru-RU"/>
        </w:rPr>
        <w:t xml:space="preserve">» </w:t>
      </w:r>
      <w:r w:rsidR="000D114A" w:rsidRPr="002B144F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0D114A" w:rsidRPr="002B144F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2B144F" w:rsidRDefault="000D114A" w:rsidP="00E50FFA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B144F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2B144F">
        <w:rPr>
          <w:rFonts w:eastAsia="Times New Roman" w:cs="Times New Roman"/>
          <w:bCs/>
          <w:szCs w:val="28"/>
          <w:lang w:eastAsia="ru-RU"/>
        </w:rPr>
        <w:t xml:space="preserve">План </w:t>
      </w:r>
      <w:r w:rsidR="00567D0E" w:rsidRPr="002B144F">
        <w:rPr>
          <w:rFonts w:eastAsia="Times New Roman" w:cs="Times New Roman"/>
          <w:bCs/>
          <w:szCs w:val="28"/>
          <w:lang w:eastAsia="ru-RU"/>
        </w:rPr>
        <w:t xml:space="preserve">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</w:t>
      </w:r>
      <w:r w:rsidR="00567D0E" w:rsidRPr="002B144F">
        <w:rPr>
          <w:rFonts w:eastAsia="Times New Roman" w:cs="Times New Roman"/>
          <w:bCs/>
          <w:szCs w:val="28"/>
          <w:lang w:eastAsia="ru-RU"/>
        </w:rPr>
        <w:br/>
        <w:t>17 марта 2024 года</w:t>
      </w:r>
      <w:r w:rsidR="00E5222B" w:rsidRPr="002B144F">
        <w:rPr>
          <w:rFonts w:eastAsia="Times New Roman" w:cs="Times New Roman"/>
          <w:bCs/>
          <w:szCs w:val="28"/>
          <w:lang w:eastAsia="ru-RU"/>
        </w:rPr>
        <w:t xml:space="preserve"> </w:t>
      </w:r>
      <w:r w:rsidRPr="002B144F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Pr="002B144F" w:rsidRDefault="00E5222B" w:rsidP="00E50FFA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B144F">
        <w:rPr>
          <w:rFonts w:cs="Times New Roman"/>
          <w:szCs w:val="28"/>
        </w:rPr>
        <w:lastRenderedPageBreak/>
        <w:t>Направить настоящее постановление в</w:t>
      </w:r>
      <w:r w:rsidRPr="002B144F">
        <w:rPr>
          <w:rFonts w:cs="Times New Roman"/>
          <w:spacing w:val="-1"/>
          <w:szCs w:val="28"/>
        </w:rPr>
        <w:t xml:space="preserve"> </w:t>
      </w:r>
      <w:r w:rsidRPr="002B144F">
        <w:rPr>
          <w:rFonts w:cs="Times New Roman"/>
          <w:szCs w:val="28"/>
        </w:rPr>
        <w:t>избирательную комиссию Тверской области</w:t>
      </w:r>
      <w:r w:rsidR="00567D0E" w:rsidRPr="002B144F">
        <w:rPr>
          <w:rFonts w:cs="Times New Roman"/>
          <w:szCs w:val="28"/>
        </w:rPr>
        <w:t xml:space="preserve"> не позднее 09</w:t>
      </w:r>
      <w:r w:rsidR="00EF5F63" w:rsidRPr="002B144F">
        <w:rPr>
          <w:rFonts w:cs="Times New Roman"/>
          <w:szCs w:val="28"/>
        </w:rPr>
        <w:t xml:space="preserve"> января 202</w:t>
      </w:r>
      <w:r w:rsidR="00567D0E" w:rsidRPr="002B144F">
        <w:rPr>
          <w:rFonts w:cs="Times New Roman"/>
          <w:szCs w:val="28"/>
        </w:rPr>
        <w:t>4</w:t>
      </w:r>
      <w:r w:rsidR="00541EA1" w:rsidRPr="002B144F">
        <w:rPr>
          <w:rFonts w:cs="Times New Roman"/>
          <w:szCs w:val="28"/>
        </w:rPr>
        <w:t xml:space="preserve"> года</w:t>
      </w:r>
      <w:r w:rsidRPr="002B144F">
        <w:rPr>
          <w:rFonts w:cs="Times New Roman"/>
          <w:szCs w:val="28"/>
        </w:rPr>
        <w:t>.</w:t>
      </w:r>
    </w:p>
    <w:p w:rsidR="00E5222B" w:rsidRPr="002B144F" w:rsidRDefault="000D114A" w:rsidP="00E50FFA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2B144F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D114A" w:rsidRPr="002B144F" w:rsidRDefault="00F433F8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2B144F">
        <w:rPr>
          <w:rFonts w:eastAsia="Calibri" w:cs="Times New Roman"/>
        </w:rPr>
        <w:t>Возложить к</w:t>
      </w:r>
      <w:r w:rsidR="000D114A" w:rsidRPr="002B144F">
        <w:rPr>
          <w:rFonts w:eastAsia="Calibri" w:cs="Times New Roman"/>
        </w:rPr>
        <w:t>онтроль исполнени</w:t>
      </w:r>
      <w:r w:rsidRPr="002B144F">
        <w:rPr>
          <w:rFonts w:eastAsia="Calibri" w:cs="Times New Roman"/>
        </w:rPr>
        <w:t>я</w:t>
      </w:r>
      <w:r w:rsidR="000D114A" w:rsidRPr="002B144F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0D114A" w:rsidRPr="002B144F">
        <w:rPr>
          <w:rFonts w:eastAsia="Calibri" w:cs="Times New Roman"/>
          <w:szCs w:val="28"/>
        </w:rPr>
        <w:t>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B144F" w:rsidRPr="002B144F" w:rsidTr="00541EA1">
        <w:tc>
          <w:tcPr>
            <w:tcW w:w="4219" w:type="dxa"/>
            <w:hideMark/>
          </w:tcPr>
          <w:p w:rsidR="00541EA1" w:rsidRPr="002B144F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B144F">
              <w:rPr>
                <w:rFonts w:eastAsia="Times New Roman" w:cs="Times New Roman"/>
                <w:szCs w:val="26"/>
                <w:lang w:eastAsia="ru-RU"/>
              </w:rPr>
              <w:t>Председатель</w:t>
            </w:r>
          </w:p>
          <w:p w:rsidR="00541EA1" w:rsidRPr="002B144F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B144F">
              <w:rPr>
                <w:rFonts w:eastAsia="Times New Roman" w:cs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2B144F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2B144F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2B144F">
              <w:rPr>
                <w:rFonts w:eastAsia="Calibri" w:cs="Times New Roman"/>
                <w:szCs w:val="28"/>
              </w:rPr>
              <w:t>М. Н. Емельянова</w:t>
            </w:r>
          </w:p>
        </w:tc>
      </w:tr>
      <w:tr w:rsidR="002B144F" w:rsidRPr="002B144F" w:rsidTr="00541EA1">
        <w:tc>
          <w:tcPr>
            <w:tcW w:w="4219" w:type="dxa"/>
          </w:tcPr>
          <w:p w:rsidR="00541EA1" w:rsidRPr="002B144F" w:rsidRDefault="00541EA1" w:rsidP="00541EA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41EA1" w:rsidRPr="002B144F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2B144F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B144F" w:rsidRPr="002B144F" w:rsidTr="00541EA1">
        <w:tc>
          <w:tcPr>
            <w:tcW w:w="4219" w:type="dxa"/>
            <w:hideMark/>
          </w:tcPr>
          <w:p w:rsidR="00541EA1" w:rsidRPr="002B144F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B144F">
              <w:rPr>
                <w:rFonts w:eastAsia="Times New Roman" w:cs="Times New Roman"/>
                <w:szCs w:val="24"/>
                <w:lang w:eastAsia="ru-RU"/>
              </w:rPr>
              <w:t>Секретарь</w:t>
            </w:r>
          </w:p>
          <w:p w:rsidR="00541EA1" w:rsidRPr="002B144F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B144F">
              <w:rPr>
                <w:rFonts w:eastAsia="Times New Roman" w:cs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2B144F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2B144F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2B144F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0D114A" w:rsidRPr="002B144F" w:rsidRDefault="000D114A" w:rsidP="00416C47">
      <w:pPr>
        <w:rPr>
          <w:rFonts w:eastAsia="Calibri" w:cs="Times New Roman"/>
          <w:szCs w:val="28"/>
        </w:rPr>
        <w:sectPr w:rsidR="000D114A" w:rsidRPr="002B144F" w:rsidSect="005556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2B144F" w:rsidRDefault="000D114A" w:rsidP="00416C47">
      <w:pPr>
        <w:ind w:left="10490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2B144F">
        <w:rPr>
          <w:rFonts w:eastAsia="Calibri" w:cs="Times New Roman"/>
          <w:szCs w:val="28"/>
        </w:rPr>
        <w:lastRenderedPageBreak/>
        <w:t>Приложение</w:t>
      </w:r>
      <w:r w:rsidR="00555688" w:rsidRPr="002B144F">
        <w:rPr>
          <w:rFonts w:eastAsia="Calibri" w:cs="Times New Roman"/>
          <w:szCs w:val="28"/>
        </w:rPr>
        <w:t xml:space="preserve"> </w:t>
      </w:r>
    </w:p>
    <w:p w:rsidR="000D114A" w:rsidRPr="002B144F" w:rsidRDefault="000D114A" w:rsidP="00416C47">
      <w:pPr>
        <w:ind w:left="10490"/>
        <w:jc w:val="both"/>
        <w:rPr>
          <w:rFonts w:eastAsia="Calibri" w:cs="Times New Roman"/>
          <w:szCs w:val="28"/>
        </w:rPr>
      </w:pPr>
      <w:r w:rsidRPr="002B144F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0D114A" w:rsidRPr="002B144F" w:rsidRDefault="000D114A" w:rsidP="00416C47">
      <w:pPr>
        <w:ind w:left="10490"/>
        <w:jc w:val="both"/>
        <w:rPr>
          <w:rFonts w:eastAsia="Calibri" w:cs="Times New Roman"/>
          <w:b/>
          <w:szCs w:val="28"/>
        </w:rPr>
      </w:pPr>
      <w:r w:rsidRPr="002B144F">
        <w:rPr>
          <w:rFonts w:eastAsia="Calibri" w:cs="Times New Roman"/>
          <w:szCs w:val="28"/>
        </w:rPr>
        <w:t xml:space="preserve"> от </w:t>
      </w:r>
      <w:r w:rsidR="00567D0E" w:rsidRPr="002B144F">
        <w:rPr>
          <w:rFonts w:eastAsia="Calibri" w:cs="Times New Roman"/>
          <w:szCs w:val="28"/>
        </w:rPr>
        <w:t>29 декабря 2023 г. № 66/45</w:t>
      </w:r>
      <w:r w:rsidR="005416BA" w:rsidRPr="002B144F">
        <w:rPr>
          <w:rFonts w:eastAsia="Calibri" w:cs="Times New Roman"/>
          <w:szCs w:val="28"/>
        </w:rPr>
        <w:t>6</w:t>
      </w:r>
      <w:r w:rsidR="00567D0E" w:rsidRPr="002B144F">
        <w:rPr>
          <w:rFonts w:eastAsia="Calibri" w:cs="Times New Roman"/>
          <w:szCs w:val="28"/>
        </w:rPr>
        <w:t>-5</w:t>
      </w:r>
    </w:p>
    <w:p w:rsidR="00A415C5" w:rsidRPr="002B144F" w:rsidRDefault="00A415C5" w:rsidP="004458A5">
      <w:pPr>
        <w:jc w:val="center"/>
        <w:rPr>
          <w:rFonts w:eastAsia="Calibri" w:cs="Times New Roman"/>
          <w:b/>
          <w:szCs w:val="28"/>
        </w:rPr>
      </w:pPr>
    </w:p>
    <w:p w:rsidR="00567D0E" w:rsidRPr="002B144F" w:rsidRDefault="00567D0E" w:rsidP="004458A5">
      <w:pPr>
        <w:jc w:val="center"/>
        <w:rPr>
          <w:rFonts w:eastAsia="Calibri" w:cs="Times New Roman"/>
          <w:b/>
          <w:szCs w:val="28"/>
        </w:rPr>
      </w:pPr>
      <w:r w:rsidRPr="002B144F">
        <w:rPr>
          <w:rFonts w:eastAsia="Calibri" w:cs="Times New Roman"/>
          <w:b/>
          <w:szCs w:val="28"/>
        </w:rPr>
        <w:t xml:space="preserve">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</w:t>
      </w:r>
    </w:p>
    <w:p w:rsidR="00511E3E" w:rsidRPr="002B144F" w:rsidRDefault="00567D0E" w:rsidP="004458A5">
      <w:pPr>
        <w:jc w:val="center"/>
        <w:rPr>
          <w:sz w:val="22"/>
        </w:rPr>
      </w:pPr>
      <w:r w:rsidRPr="002B144F">
        <w:rPr>
          <w:rFonts w:eastAsia="Calibri" w:cs="Times New Roman"/>
          <w:b/>
          <w:szCs w:val="28"/>
        </w:rPr>
        <w:t>17 марта 2024 года</w:t>
      </w:r>
    </w:p>
    <w:tbl>
      <w:tblPr>
        <w:tblW w:w="157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701"/>
        <w:gridCol w:w="1842"/>
        <w:gridCol w:w="2126"/>
        <w:gridCol w:w="18"/>
      </w:tblGrid>
      <w:tr w:rsidR="002B144F" w:rsidRPr="002B144F" w:rsidTr="003B66D3">
        <w:trPr>
          <w:gridAfter w:val="1"/>
          <w:wAfter w:w="18" w:type="dxa"/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:rsidR="00511E3E" w:rsidRPr="002B144F" w:rsidRDefault="00511E3E" w:rsidP="005B71FD">
            <w:pPr>
              <w:spacing w:line="240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vAlign w:val="center"/>
          </w:tcPr>
          <w:p w:rsidR="00511E3E" w:rsidRPr="002B144F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511E3E" w:rsidRPr="002B144F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2B144F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2B144F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511E3E" w:rsidRPr="002B144F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511E3E" w:rsidRPr="002B144F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2B144F" w:rsidRDefault="00511E3E" w:rsidP="005B71F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2B144F" w:rsidRPr="002B144F" w:rsidTr="00E50FFA">
        <w:trPr>
          <w:gridAfter w:val="1"/>
          <w:wAfter w:w="18" w:type="dxa"/>
          <w:trHeight w:val="369"/>
          <w:tblHeader/>
        </w:trPr>
        <w:tc>
          <w:tcPr>
            <w:tcW w:w="540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1E3E" w:rsidRPr="002B144F" w:rsidRDefault="00A47C8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8</w:t>
            </w:r>
          </w:p>
        </w:tc>
      </w:tr>
      <w:tr w:rsidR="002B144F" w:rsidRPr="002B144F" w:rsidTr="003B66D3">
        <w:trPr>
          <w:trHeight w:val="594"/>
        </w:trPr>
        <w:tc>
          <w:tcPr>
            <w:tcW w:w="15752" w:type="dxa"/>
            <w:gridSpan w:val="9"/>
            <w:vAlign w:val="center"/>
          </w:tcPr>
          <w:p w:rsidR="00511E3E" w:rsidRPr="002B144F" w:rsidRDefault="00511E3E" w:rsidP="005B71FD">
            <w:pPr>
              <w:ind w:left="425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1. Обучение членов территориальн</w:t>
            </w:r>
            <w:r w:rsidR="003B66D3" w:rsidRPr="002B144F">
              <w:rPr>
                <w:b/>
                <w:bCs/>
                <w:sz w:val="24"/>
                <w:szCs w:val="24"/>
              </w:rPr>
              <w:t>ой</w:t>
            </w:r>
            <w:r w:rsidRPr="002B144F">
              <w:rPr>
                <w:b/>
                <w:bCs/>
                <w:sz w:val="24"/>
                <w:szCs w:val="24"/>
              </w:rPr>
              <w:t xml:space="preserve"> избирательн</w:t>
            </w:r>
            <w:r w:rsidR="003B66D3" w:rsidRPr="002B144F">
              <w:rPr>
                <w:b/>
                <w:bCs/>
                <w:sz w:val="24"/>
                <w:szCs w:val="24"/>
              </w:rPr>
              <w:t>ой</w:t>
            </w:r>
            <w:r w:rsidRPr="002B144F">
              <w:rPr>
                <w:b/>
                <w:bCs/>
                <w:sz w:val="24"/>
                <w:szCs w:val="24"/>
              </w:rPr>
              <w:t xml:space="preserve"> комисси</w:t>
            </w:r>
            <w:r w:rsidR="003B66D3" w:rsidRPr="002B144F">
              <w:rPr>
                <w:b/>
                <w:bCs/>
                <w:sz w:val="24"/>
                <w:szCs w:val="24"/>
              </w:rPr>
              <w:t>и Калязинского района</w:t>
            </w:r>
            <w:r w:rsidRPr="002B144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голосование по месту нахождения (механизм «Мобильный избиратель»);</w:t>
            </w:r>
          </w:p>
          <w:p w:rsidR="00F63070" w:rsidRPr="002B144F" w:rsidRDefault="00F63070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основные действия территориальной избирательной комиссии по организации и проведению выборов Президента РФ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порядок финансирования ТИК и УИК при подготовке и проведении выборов Президента Российской Федерации;</w:t>
            </w:r>
          </w:p>
          <w:p w:rsidR="00F63070" w:rsidRPr="002B144F" w:rsidRDefault="00F63070" w:rsidP="005B71FD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контроль за целевым использованием средств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 xml:space="preserve">члены ТИК </w:t>
            </w:r>
            <w:r w:rsidRPr="002B144F">
              <w:rPr>
                <w:rFonts w:eastAsia="TimesNewRomanPSMT"/>
                <w:sz w:val="24"/>
                <w:szCs w:val="24"/>
              </w:rPr>
              <w:lastRenderedPageBreak/>
              <w:t>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lastRenderedPageBreak/>
              <w:t>рабочие группы и контрольно-</w:t>
            </w:r>
            <w:r w:rsidRPr="002B144F">
              <w:rPr>
                <w:lang w:val="ru-RU" w:eastAsia="ru-RU"/>
              </w:rPr>
              <w:lastRenderedPageBreak/>
              <w:t>ревизионная служба ТИК;</w:t>
            </w:r>
          </w:p>
          <w:p w:rsidR="00F63070" w:rsidRPr="002B144F" w:rsidRDefault="00F63070" w:rsidP="005B71FD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осуществление контроля за видеонаблюдением через ЕПГУ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 xml:space="preserve">Кабинет ТИК </w:t>
            </w:r>
            <w:r w:rsidRPr="002B144F">
              <w:rPr>
                <w:sz w:val="24"/>
                <w:szCs w:val="24"/>
              </w:rPr>
              <w:lastRenderedPageBreak/>
              <w:t>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lastRenderedPageBreak/>
              <w:t xml:space="preserve">очный </w:t>
            </w:r>
            <w:r w:rsidRPr="002B144F">
              <w:rPr>
                <w:bCs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 xml:space="preserve">ТИК </w:t>
            </w:r>
            <w:r w:rsidRPr="002B144F">
              <w:rPr>
                <w:rFonts w:eastAsia="TimesNewRomanPSMT"/>
                <w:sz w:val="24"/>
                <w:szCs w:val="24"/>
              </w:rPr>
              <w:lastRenderedPageBreak/>
              <w:t>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pStyle w:val="ae"/>
              <w:spacing w:after="0"/>
              <w:ind w:left="34"/>
              <w:jc w:val="both"/>
              <w:rPr>
                <w:lang w:val="ru-RU" w:eastAsia="ru-RU"/>
              </w:rPr>
            </w:pPr>
            <w:r w:rsidRPr="002B144F">
              <w:t>контроль за проведением предвыборной агитации</w:t>
            </w:r>
            <w:r w:rsidRPr="002B144F">
              <w:rPr>
                <w:lang w:val="ru-RU"/>
              </w:rPr>
              <w:t>; информационно-разъяснительная деятельность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 xml:space="preserve">лекция, 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работа со списками избирателей; уточнение списка избирателей;</w:t>
            </w:r>
          </w:p>
          <w:p w:rsidR="00F63070" w:rsidRPr="002B144F" w:rsidRDefault="00F63070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2B144F">
              <w:t>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реализация информационного проекта  «ИнформУИК»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управление конфликтами в избирательном процессе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042134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2B144F">
              <w:rPr>
                <w:lang w:val="ru-RU"/>
              </w:rPr>
              <w:t>о</w:t>
            </w:r>
            <w:r w:rsidRPr="002B144F">
              <w:t xml:space="preserve">рганизация </w:t>
            </w:r>
            <w:r w:rsidRPr="002B144F">
              <w:rPr>
                <w:lang w:val="ru-RU"/>
              </w:rPr>
              <w:t>трехдневного голосования (работа с сейф-пакетами)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pStyle w:val="ae"/>
              <w:spacing w:after="0"/>
              <w:ind w:left="0"/>
              <w:rPr>
                <w:lang w:val="ru-RU"/>
              </w:rPr>
            </w:pPr>
            <w:r w:rsidRPr="002B144F">
              <w:rPr>
                <w:lang w:val="ru-RU"/>
              </w:rPr>
              <w:t>о</w:t>
            </w:r>
            <w:r w:rsidRPr="002B144F">
              <w:t xml:space="preserve">рганизация работы избирательных комиссий в день, предшествующий голосованию, и в день </w:t>
            </w:r>
            <w:r w:rsidRPr="002B144F">
              <w:rPr>
                <w:lang w:val="ru-RU"/>
              </w:rPr>
              <w:t xml:space="preserve">(дни) </w:t>
            </w:r>
            <w:r w:rsidRPr="002B144F">
              <w:t>голосования</w:t>
            </w:r>
            <w:r w:rsidRPr="002B144F">
              <w:rPr>
                <w:lang w:val="ru-RU"/>
              </w:rPr>
              <w:t>;</w:t>
            </w:r>
          </w:p>
          <w:p w:rsidR="00F63070" w:rsidRPr="002B144F" w:rsidRDefault="00F63070" w:rsidP="005B71FD">
            <w:pPr>
              <w:pStyle w:val="ae"/>
              <w:spacing w:after="0"/>
              <w:ind w:left="0"/>
              <w:rPr>
                <w:lang w:eastAsia="ru-RU"/>
              </w:rPr>
            </w:pPr>
            <w:r w:rsidRPr="002B144F">
              <w:rPr>
                <w:lang w:val="ru-RU"/>
              </w:rPr>
              <w:t>дополнительные формы голосования</w:t>
            </w:r>
            <w:r w:rsidRPr="002B144F"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042134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pStyle w:val="ae"/>
              <w:spacing w:after="0"/>
              <w:ind w:left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порядок подсчета голосов, подведение итогов выборов;</w:t>
            </w:r>
          </w:p>
          <w:p w:rsidR="00F63070" w:rsidRPr="002B144F" w:rsidRDefault="00F63070" w:rsidP="005B71FD">
            <w:pPr>
              <w:pStyle w:val="ae"/>
              <w:spacing w:after="0"/>
              <w:ind w:left="0" w:firstLine="34"/>
              <w:rPr>
                <w:lang w:eastAsia="ru-RU"/>
              </w:rPr>
            </w:pPr>
            <w:r w:rsidRPr="002B144F">
              <w:rPr>
                <w:lang w:val="ru-RU"/>
              </w:rPr>
              <w:t>о</w:t>
            </w:r>
            <w:r w:rsidRPr="002B144F">
              <w:t xml:space="preserve">рганизация работы </w:t>
            </w:r>
            <w:r w:rsidRPr="002B144F">
              <w:rPr>
                <w:lang w:val="ru-RU"/>
              </w:rPr>
              <w:t>ТИК</w:t>
            </w:r>
            <w:r w:rsidRPr="002B144F">
              <w:t xml:space="preserve">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 xml:space="preserve">лекция, </w:t>
            </w:r>
            <w:r w:rsidRPr="002B144F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F63070" w:rsidRPr="002B144F" w:rsidRDefault="00F63070" w:rsidP="005B71FD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F63070" w:rsidRPr="002B144F" w:rsidRDefault="00F63070" w:rsidP="005B71FD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готовность избирательных комиссий к дню голосования</w:t>
            </w:r>
          </w:p>
        </w:tc>
        <w:tc>
          <w:tcPr>
            <w:tcW w:w="1560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63070" w:rsidRPr="002B144F" w:rsidRDefault="00042134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63070" w:rsidRPr="002B144F" w:rsidRDefault="00F6307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</w:tbl>
    <w:p w:rsidR="00511E3E" w:rsidRPr="002B144F" w:rsidRDefault="00511E3E" w:rsidP="00511E3E">
      <w:pPr>
        <w:sectPr w:rsidR="00511E3E" w:rsidRPr="002B144F" w:rsidSect="00511E3E">
          <w:headerReference w:type="default" r:id="rId8"/>
          <w:footerReference w:type="even" r:id="rId9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511E3E" w:rsidRPr="002B144F" w:rsidRDefault="00511E3E">
      <w:pPr>
        <w:rPr>
          <w:rFonts w:eastAsia="Times New Roman" w:cs="Times New Roman"/>
          <w:b/>
          <w:szCs w:val="28"/>
          <w:lang w:eastAsia="ru-RU"/>
        </w:rPr>
      </w:pPr>
    </w:p>
    <w:p w:rsidR="00511E3E" w:rsidRPr="002B144F" w:rsidRDefault="00511E3E" w:rsidP="00511E3E">
      <w:pPr>
        <w:rPr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3685"/>
        <w:gridCol w:w="1560"/>
        <w:gridCol w:w="2268"/>
        <w:gridCol w:w="1700"/>
        <w:gridCol w:w="1843"/>
        <w:gridCol w:w="2126"/>
      </w:tblGrid>
      <w:tr w:rsidR="002B144F" w:rsidRPr="002B144F" w:rsidTr="003B66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511E3E" w:rsidRPr="002B144F" w:rsidRDefault="00511E3E" w:rsidP="005B71F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54" w:type="dxa"/>
            <w:vAlign w:val="center"/>
          </w:tcPr>
          <w:p w:rsidR="00511E3E" w:rsidRPr="002B144F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685" w:type="dxa"/>
            <w:vAlign w:val="center"/>
          </w:tcPr>
          <w:p w:rsidR="00511E3E" w:rsidRPr="002B144F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2B144F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2B144F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vAlign w:val="center"/>
          </w:tcPr>
          <w:p w:rsidR="00511E3E" w:rsidRPr="002B144F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511E3E" w:rsidRPr="002B144F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2B144F" w:rsidRDefault="00511E3E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2B144F" w:rsidRPr="002B144F" w:rsidTr="003B66D3">
        <w:trPr>
          <w:trHeight w:val="176"/>
          <w:tblHeader/>
        </w:trPr>
        <w:tc>
          <w:tcPr>
            <w:tcW w:w="540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11E3E" w:rsidRPr="002B144F" w:rsidRDefault="00511E3E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1E3E" w:rsidRPr="002B144F" w:rsidRDefault="003B66D3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8</w:t>
            </w:r>
          </w:p>
        </w:tc>
      </w:tr>
      <w:tr w:rsidR="002B144F" w:rsidRPr="002B144F" w:rsidTr="003B66D3">
        <w:trPr>
          <w:trHeight w:val="468"/>
        </w:trPr>
        <w:tc>
          <w:tcPr>
            <w:tcW w:w="15876" w:type="dxa"/>
            <w:gridSpan w:val="8"/>
            <w:vAlign w:val="center"/>
          </w:tcPr>
          <w:p w:rsidR="00511E3E" w:rsidRPr="002B144F" w:rsidRDefault="005E160F" w:rsidP="005B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 xml:space="preserve">2. </w:t>
            </w:r>
            <w:r w:rsidR="00511E3E" w:rsidRPr="002B144F">
              <w:rPr>
                <w:b/>
                <w:bCs/>
                <w:sz w:val="24"/>
                <w:szCs w:val="24"/>
              </w:rPr>
              <w:t xml:space="preserve">Обучение членов участковых избирательных комиссий </w:t>
            </w:r>
          </w:p>
        </w:tc>
      </w:tr>
      <w:tr w:rsidR="002B144F" w:rsidRPr="002B144F" w:rsidTr="008071B5">
        <w:trPr>
          <w:trHeight w:val="300"/>
        </w:trPr>
        <w:tc>
          <w:tcPr>
            <w:tcW w:w="540" w:type="dxa"/>
            <w:shd w:val="clear" w:color="auto" w:fill="auto"/>
          </w:tcPr>
          <w:p w:rsidR="002D4150" w:rsidRPr="002B144F" w:rsidRDefault="002D4150" w:rsidP="005B71FD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2D4150" w:rsidRPr="002B144F" w:rsidRDefault="002D4150" w:rsidP="005B71FD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</w:tcPr>
          <w:p w:rsidR="002D4150" w:rsidRPr="002B144F" w:rsidRDefault="002D4150" w:rsidP="005B71FD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2D4150" w:rsidRPr="002B144F" w:rsidRDefault="002D4150" w:rsidP="005B71FD">
            <w:pPr>
              <w:pStyle w:val="ae"/>
              <w:spacing w:after="0"/>
              <w:ind w:left="0" w:firstLine="34"/>
            </w:pPr>
            <w:r w:rsidRPr="002B144F">
              <w:rPr>
                <w:iCs/>
              </w:rPr>
              <w:t>оснащен</w:t>
            </w:r>
            <w:r w:rsidRPr="002B144F">
              <w:rPr>
                <w:iCs/>
                <w:lang w:val="ru-RU"/>
              </w:rPr>
              <w:t>ие</w:t>
            </w:r>
            <w:r w:rsidRPr="002B144F">
              <w:rPr>
                <w:iCs/>
              </w:rPr>
              <w:t xml:space="preserve"> избирательных участков программно–аппаратными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</w:tcPr>
          <w:p w:rsidR="002D4150" w:rsidRPr="002B144F" w:rsidRDefault="002D415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2D4150" w:rsidRPr="002B144F" w:rsidRDefault="002D415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2D4150" w:rsidRPr="002B144F" w:rsidRDefault="002D4150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2D4150" w:rsidRPr="002B144F" w:rsidRDefault="00835D6C" w:rsidP="005B71FD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</w:t>
            </w:r>
            <w:r w:rsidR="002D4150" w:rsidRPr="002B144F">
              <w:rPr>
                <w:bCs/>
                <w:sz w:val="24"/>
                <w:szCs w:val="24"/>
              </w:rPr>
              <w:t>екция</w:t>
            </w:r>
            <w:r w:rsidRPr="002B144F"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2D4150" w:rsidRPr="002B144F" w:rsidRDefault="002D4150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835D6C" w:rsidRPr="002B144F" w:rsidRDefault="00835D6C" w:rsidP="00835D6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голосование по месту нахождения (механизм «Мобильный избиратель»)</w:t>
            </w:r>
          </w:p>
        </w:tc>
        <w:tc>
          <w:tcPr>
            <w:tcW w:w="156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835D6C" w:rsidRPr="002B144F" w:rsidRDefault="00835D6C" w:rsidP="00835D6C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835D6C" w:rsidRPr="002B144F" w:rsidRDefault="00835D6C" w:rsidP="00835D6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835D6C" w:rsidRPr="002B144F" w:rsidRDefault="00835D6C" w:rsidP="00835D6C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информационно-разъяснительная деятельность комиссии в ходе подготовки выборов;</w:t>
            </w:r>
          </w:p>
          <w:p w:rsidR="00835D6C" w:rsidRPr="002B144F" w:rsidRDefault="00835D6C" w:rsidP="00835D6C">
            <w:pPr>
              <w:pStyle w:val="ae"/>
              <w:spacing w:after="0"/>
              <w:ind w:left="0" w:firstLine="34"/>
              <w:rPr>
                <w:lang w:val="ru-RU" w:eastAsia="ru-RU"/>
              </w:rPr>
            </w:pPr>
            <w:r w:rsidRPr="002B144F">
              <w:rPr>
                <w:lang w:val="ru-RU" w:eastAsia="ru-RU"/>
              </w:rPr>
              <w:t>реализация информационного проекта  «ИнформУИК»</w:t>
            </w:r>
          </w:p>
        </w:tc>
        <w:tc>
          <w:tcPr>
            <w:tcW w:w="156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январь -февраль</w:t>
            </w:r>
          </w:p>
        </w:tc>
        <w:tc>
          <w:tcPr>
            <w:tcW w:w="2268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35D6C" w:rsidRPr="002B144F" w:rsidRDefault="00835D6C" w:rsidP="00835D6C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835D6C" w:rsidRPr="002B144F" w:rsidRDefault="00835D6C" w:rsidP="00835D6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 xml:space="preserve">председатели, заместители председателей, </w:t>
            </w:r>
            <w:r w:rsidRPr="002B144F">
              <w:rPr>
                <w:sz w:val="24"/>
                <w:szCs w:val="24"/>
              </w:rPr>
              <w:lastRenderedPageBreak/>
              <w:t>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lastRenderedPageBreak/>
              <w:t>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зал администрации Калязинского муниципального </w:t>
            </w: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70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35D6C" w:rsidRPr="002B144F" w:rsidRDefault="00835D6C" w:rsidP="00835D6C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835D6C" w:rsidRPr="002B144F" w:rsidRDefault="00835D6C" w:rsidP="00835D6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- уточнение списков избирателей;</w:t>
            </w:r>
          </w:p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835D6C" w:rsidRPr="002B144F" w:rsidRDefault="00835D6C" w:rsidP="00835D6C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835D6C" w:rsidRPr="002B144F" w:rsidRDefault="00835D6C" w:rsidP="00835D6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835D6C" w:rsidRPr="002B144F" w:rsidRDefault="00835D6C" w:rsidP="00835D6C">
            <w:pPr>
              <w:ind w:left="34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взаимодействие с</w:t>
            </w:r>
          </w:p>
          <w:p w:rsidR="00835D6C" w:rsidRPr="002B144F" w:rsidRDefault="00835D6C" w:rsidP="00835D6C">
            <w:pPr>
              <w:ind w:left="34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 xml:space="preserve"> -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835D6C" w:rsidRPr="002B144F" w:rsidRDefault="00835D6C" w:rsidP="00835D6C">
            <w:pPr>
              <w:numPr>
                <w:ilvl w:val="0"/>
                <w:numId w:val="30"/>
              </w:numPr>
              <w:ind w:left="34" w:firstLine="0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наблюдателями;</w:t>
            </w:r>
          </w:p>
          <w:p w:rsidR="00835D6C" w:rsidRPr="002B144F" w:rsidRDefault="00835D6C" w:rsidP="00835D6C">
            <w:pPr>
              <w:numPr>
                <w:ilvl w:val="0"/>
                <w:numId w:val="30"/>
              </w:numPr>
              <w:ind w:left="34" w:firstLine="0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представителями средств массовой информации, кандидатами и их доверенными лицами;</w:t>
            </w:r>
          </w:p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 xml:space="preserve">особенности реализации </w:t>
            </w:r>
            <w:r w:rsidRPr="002B144F">
              <w:rPr>
                <w:sz w:val="24"/>
                <w:szCs w:val="24"/>
              </w:rPr>
              <w:lastRenderedPageBreak/>
              <w:t>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35D6C" w:rsidRPr="002B144F" w:rsidRDefault="00835D6C" w:rsidP="00835D6C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835D6C" w:rsidRPr="002B144F" w:rsidRDefault="00835D6C" w:rsidP="00835D6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действия членов УИК на случай нештатной ситуации</w:t>
            </w:r>
          </w:p>
        </w:tc>
        <w:tc>
          <w:tcPr>
            <w:tcW w:w="156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35D6C" w:rsidRPr="002B144F" w:rsidRDefault="00835D6C" w:rsidP="00835D6C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655CD5">
        <w:trPr>
          <w:trHeight w:val="300"/>
        </w:trPr>
        <w:tc>
          <w:tcPr>
            <w:tcW w:w="540" w:type="dxa"/>
          </w:tcPr>
          <w:p w:rsidR="00835D6C" w:rsidRPr="002B144F" w:rsidRDefault="00835D6C" w:rsidP="00835D6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работа УИК при организации трехдневного голосования (работа с сейф-пакетами)</w:t>
            </w:r>
          </w:p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порядок использование специальных знаков (марок);</w:t>
            </w:r>
          </w:p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работа с сейф-пакетами</w:t>
            </w:r>
          </w:p>
        </w:tc>
        <w:tc>
          <w:tcPr>
            <w:tcW w:w="156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муниципального округа</w:t>
            </w:r>
          </w:p>
        </w:tc>
        <w:tc>
          <w:tcPr>
            <w:tcW w:w="1700" w:type="dxa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835D6C" w:rsidRPr="002B144F" w:rsidRDefault="00835D6C" w:rsidP="00835D6C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030CB4">
        <w:trPr>
          <w:trHeight w:val="300"/>
        </w:trPr>
        <w:tc>
          <w:tcPr>
            <w:tcW w:w="540" w:type="dxa"/>
          </w:tcPr>
          <w:p w:rsidR="00835D6C" w:rsidRPr="002B144F" w:rsidRDefault="00835D6C" w:rsidP="00835D6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работа участковой избирательной комиссии в день, предшествующий голосованию, и в дни голосования; реализация дополнительной формы голосования;</w:t>
            </w:r>
          </w:p>
        </w:tc>
        <w:tc>
          <w:tcPr>
            <w:tcW w:w="156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муниципального округа</w:t>
            </w:r>
          </w:p>
        </w:tc>
        <w:tc>
          <w:tcPr>
            <w:tcW w:w="170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35D6C" w:rsidRPr="002B144F" w:rsidRDefault="00835D6C" w:rsidP="00835D6C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8071B5">
        <w:trPr>
          <w:trHeight w:val="300"/>
        </w:trPr>
        <w:tc>
          <w:tcPr>
            <w:tcW w:w="540" w:type="dxa"/>
          </w:tcPr>
          <w:p w:rsidR="00835D6C" w:rsidRPr="002B144F" w:rsidRDefault="00835D6C" w:rsidP="00835D6C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:rsidR="00835D6C" w:rsidRPr="002B144F" w:rsidRDefault="00835D6C" w:rsidP="00835D6C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685" w:type="dxa"/>
            <w:shd w:val="clear" w:color="auto" w:fill="auto"/>
          </w:tcPr>
          <w:p w:rsidR="00835D6C" w:rsidRPr="002B144F" w:rsidRDefault="00835D6C" w:rsidP="00835D6C">
            <w:pPr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муниципального округа</w:t>
            </w:r>
          </w:p>
        </w:tc>
        <w:tc>
          <w:tcPr>
            <w:tcW w:w="1700" w:type="dxa"/>
          </w:tcPr>
          <w:p w:rsidR="00835D6C" w:rsidRPr="002B144F" w:rsidRDefault="00835D6C" w:rsidP="00835D6C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835D6C" w:rsidRPr="002B144F" w:rsidRDefault="00835D6C" w:rsidP="00835D6C">
            <w:pPr>
              <w:jc w:val="center"/>
            </w:pPr>
            <w:r w:rsidRPr="002B144F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835D6C" w:rsidRPr="002B144F" w:rsidRDefault="00835D6C" w:rsidP="00835D6C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</w:tbl>
    <w:p w:rsidR="00845DA5" w:rsidRPr="002B144F" w:rsidRDefault="00845DA5" w:rsidP="00D77B55">
      <w:pPr>
        <w:spacing w:before="240" w:after="240"/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845DA5" w:rsidRPr="002B144F" w:rsidSect="00316A81">
          <w:headerReference w:type="default" r:id="rId10"/>
          <w:footerReference w:type="even" r:id="rId11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511E3E" w:rsidRPr="002B144F" w:rsidRDefault="00511E3E" w:rsidP="00511E3E">
      <w:pPr>
        <w:jc w:val="center"/>
        <w:rPr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977"/>
        <w:gridCol w:w="1560"/>
        <w:gridCol w:w="2126"/>
        <w:gridCol w:w="1843"/>
        <w:gridCol w:w="1844"/>
        <w:gridCol w:w="1983"/>
      </w:tblGrid>
      <w:tr w:rsidR="002B144F" w:rsidRPr="002B144F" w:rsidTr="00363148">
        <w:trPr>
          <w:cantSplit/>
          <w:trHeight w:val="870"/>
          <w:tblHeader/>
        </w:trPr>
        <w:tc>
          <w:tcPr>
            <w:tcW w:w="851" w:type="dxa"/>
            <w:textDirection w:val="btLr"/>
            <w:vAlign w:val="center"/>
          </w:tcPr>
          <w:p w:rsidR="00511E3E" w:rsidRPr="002B144F" w:rsidRDefault="00511E3E" w:rsidP="005B71FD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44F">
              <w:rPr>
                <w:rFonts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26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44F">
              <w:rPr>
                <w:rFonts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2977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44F">
              <w:rPr>
                <w:rFonts w:cs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44F">
              <w:rPr>
                <w:rFonts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44F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44F">
              <w:rPr>
                <w:rFonts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4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44F">
              <w:rPr>
                <w:rFonts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983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44F">
              <w:rPr>
                <w:rFonts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2B144F" w:rsidRPr="002B144F" w:rsidTr="00D94439">
        <w:trPr>
          <w:trHeight w:val="415"/>
          <w:tblHeader/>
        </w:trPr>
        <w:tc>
          <w:tcPr>
            <w:tcW w:w="851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11E3E" w:rsidRPr="002B144F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511E3E" w:rsidRPr="002B144F" w:rsidRDefault="00511E3E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2B144F" w:rsidRPr="002B144F" w:rsidTr="00363148">
        <w:trPr>
          <w:trHeight w:val="300"/>
        </w:trPr>
        <w:tc>
          <w:tcPr>
            <w:tcW w:w="15310" w:type="dxa"/>
            <w:gridSpan w:val="8"/>
          </w:tcPr>
          <w:p w:rsidR="00511E3E" w:rsidRPr="002B144F" w:rsidRDefault="0086255C" w:rsidP="005B71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44F">
              <w:rPr>
                <w:rFonts w:cs="Times New Roman"/>
                <w:b/>
                <w:bCs/>
                <w:sz w:val="24"/>
                <w:szCs w:val="24"/>
              </w:rPr>
              <w:t>3.</w:t>
            </w:r>
            <w:r w:rsidR="00511E3E" w:rsidRPr="002B144F">
              <w:rPr>
                <w:rFonts w:cs="Times New Roman"/>
                <w:b/>
                <w:bCs/>
                <w:sz w:val="24"/>
                <w:szCs w:val="24"/>
              </w:rPr>
              <w:t xml:space="preserve"> Обучение </w:t>
            </w:r>
            <w:r w:rsidR="00F413DF" w:rsidRPr="002B144F">
              <w:rPr>
                <w:rFonts w:cs="Times New Roman"/>
                <w:b/>
                <w:bCs/>
                <w:sz w:val="24"/>
                <w:szCs w:val="24"/>
              </w:rPr>
              <w:t xml:space="preserve">других </w:t>
            </w:r>
            <w:r w:rsidR="00511E3E" w:rsidRPr="002B144F">
              <w:rPr>
                <w:rFonts w:cs="Times New Roman"/>
                <w:b/>
                <w:bCs/>
                <w:sz w:val="24"/>
                <w:szCs w:val="24"/>
              </w:rPr>
              <w:t>участников избирательного процесса</w:t>
            </w:r>
          </w:p>
        </w:tc>
      </w:tr>
      <w:tr w:rsidR="002B144F" w:rsidRPr="002B144F" w:rsidTr="00363148">
        <w:trPr>
          <w:trHeight w:val="300"/>
        </w:trPr>
        <w:tc>
          <w:tcPr>
            <w:tcW w:w="851" w:type="dxa"/>
          </w:tcPr>
          <w:p w:rsidR="003C53E4" w:rsidRPr="002B144F" w:rsidRDefault="003C53E4" w:rsidP="005B71FD">
            <w:pPr>
              <w:pStyle w:val="aa"/>
              <w:numPr>
                <w:ilvl w:val="3"/>
                <w:numId w:val="21"/>
              </w:numPr>
              <w:ind w:left="33" w:firstLine="14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3E4" w:rsidRPr="002B144F" w:rsidRDefault="003C53E4" w:rsidP="005B71FD">
            <w:pPr>
              <w:rPr>
                <w:rFonts w:cs="Times New Roman"/>
                <w:sz w:val="24"/>
                <w:szCs w:val="24"/>
              </w:rPr>
            </w:pPr>
            <w:r w:rsidRPr="002B144F">
              <w:rPr>
                <w:rFonts w:cs="Times New Roman"/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2977" w:type="dxa"/>
          </w:tcPr>
          <w:p w:rsidR="003C53E4" w:rsidRPr="002B144F" w:rsidRDefault="003C53E4" w:rsidP="005B71FD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 xml:space="preserve">информирование и предвыборная агитация в период подготовки и проведения выборов </w:t>
            </w:r>
            <w:r w:rsidR="00C11339" w:rsidRPr="002B144F">
              <w:rPr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1560" w:type="dxa"/>
          </w:tcPr>
          <w:p w:rsidR="003C53E4" w:rsidRPr="002B144F" w:rsidRDefault="003C53E4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3C53E4" w:rsidRPr="002B144F" w:rsidRDefault="003C53E4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3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144F">
              <w:rPr>
                <w:rFonts w:eastAsia="TimesNewRomanPSMT" w:cs="Times New Roman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63148">
        <w:trPr>
          <w:trHeight w:val="300"/>
        </w:trPr>
        <w:tc>
          <w:tcPr>
            <w:tcW w:w="851" w:type="dxa"/>
          </w:tcPr>
          <w:p w:rsidR="003C53E4" w:rsidRPr="002B144F" w:rsidRDefault="003C53E4" w:rsidP="005B71FD">
            <w:pPr>
              <w:pStyle w:val="aa"/>
              <w:numPr>
                <w:ilvl w:val="3"/>
                <w:numId w:val="21"/>
              </w:numPr>
              <w:ind w:left="33" w:firstLine="14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3E4" w:rsidRPr="002B144F" w:rsidRDefault="003C53E4" w:rsidP="005B71FD">
            <w:pPr>
              <w:rPr>
                <w:rFonts w:cs="Times New Roman"/>
                <w:sz w:val="24"/>
                <w:szCs w:val="24"/>
              </w:rPr>
            </w:pPr>
            <w:r w:rsidRPr="002B144F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ОВД Калязинского района</w:t>
            </w:r>
          </w:p>
        </w:tc>
        <w:tc>
          <w:tcPr>
            <w:tcW w:w="2977" w:type="dxa"/>
          </w:tcPr>
          <w:p w:rsidR="003C53E4" w:rsidRPr="002B144F" w:rsidRDefault="003C53E4" w:rsidP="005B71FD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 xml:space="preserve">обеспечение правопорядка в период подготовки и проведения выборов </w:t>
            </w:r>
            <w:r w:rsidR="00C11339" w:rsidRPr="002B144F">
              <w:rPr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1560" w:type="dxa"/>
          </w:tcPr>
          <w:p w:rsidR="003C53E4" w:rsidRPr="002B144F" w:rsidRDefault="003C53E4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3C53E4" w:rsidRPr="002B144F" w:rsidRDefault="003C53E4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3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144F">
              <w:rPr>
                <w:rFonts w:eastAsia="TimesNewRomanPSMT" w:cs="Times New Roman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63148">
        <w:trPr>
          <w:trHeight w:val="300"/>
        </w:trPr>
        <w:tc>
          <w:tcPr>
            <w:tcW w:w="851" w:type="dxa"/>
          </w:tcPr>
          <w:p w:rsidR="003C53E4" w:rsidRPr="002B144F" w:rsidRDefault="003C53E4" w:rsidP="005B71FD">
            <w:pPr>
              <w:pStyle w:val="aa"/>
              <w:numPr>
                <w:ilvl w:val="3"/>
                <w:numId w:val="21"/>
              </w:numPr>
              <w:ind w:left="33" w:firstLine="14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3E4" w:rsidRPr="002B144F" w:rsidRDefault="003C53E4" w:rsidP="005B71FD">
            <w:pPr>
              <w:rPr>
                <w:rFonts w:cs="Times New Roman"/>
                <w:sz w:val="24"/>
                <w:szCs w:val="24"/>
              </w:rPr>
            </w:pPr>
            <w:r w:rsidRPr="002B144F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МО политических партий</w:t>
            </w:r>
          </w:p>
        </w:tc>
        <w:tc>
          <w:tcPr>
            <w:tcW w:w="2977" w:type="dxa"/>
          </w:tcPr>
          <w:p w:rsidR="003C53E4" w:rsidRPr="002B144F" w:rsidRDefault="00C11339" w:rsidP="005B71FD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вопросы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:rsidR="003C53E4" w:rsidRPr="002B144F" w:rsidRDefault="003C53E4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май, июнь</w:t>
            </w:r>
          </w:p>
        </w:tc>
        <w:tc>
          <w:tcPr>
            <w:tcW w:w="2126" w:type="dxa"/>
          </w:tcPr>
          <w:p w:rsidR="003C53E4" w:rsidRPr="002B144F" w:rsidRDefault="003C53E4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3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144F">
              <w:rPr>
                <w:rFonts w:eastAsia="TimesNewRomanPSMT" w:cs="Times New Roman"/>
                <w:sz w:val="24"/>
                <w:szCs w:val="24"/>
              </w:rPr>
              <w:t>ТИК Калязинского района</w:t>
            </w:r>
          </w:p>
        </w:tc>
      </w:tr>
      <w:tr w:rsidR="002B144F" w:rsidRPr="002B144F" w:rsidTr="00363148">
        <w:trPr>
          <w:trHeight w:val="300"/>
        </w:trPr>
        <w:tc>
          <w:tcPr>
            <w:tcW w:w="851" w:type="dxa"/>
          </w:tcPr>
          <w:p w:rsidR="003C53E4" w:rsidRPr="002B144F" w:rsidRDefault="003C53E4" w:rsidP="005B71FD">
            <w:pPr>
              <w:pStyle w:val="aa"/>
              <w:numPr>
                <w:ilvl w:val="3"/>
                <w:numId w:val="21"/>
              </w:numPr>
              <w:ind w:left="33" w:firstLine="14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3E4" w:rsidRPr="002B144F" w:rsidRDefault="003C53E4" w:rsidP="005B7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44F">
              <w:rPr>
                <w:rFonts w:cs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2977" w:type="dxa"/>
          </w:tcPr>
          <w:p w:rsidR="003C53E4" w:rsidRPr="002B144F" w:rsidRDefault="003C53E4" w:rsidP="005B71FD">
            <w:pPr>
              <w:jc w:val="both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порядок организации помощи маломобильным избирателям в день (дни) голосования</w:t>
            </w:r>
          </w:p>
        </w:tc>
        <w:tc>
          <w:tcPr>
            <w:tcW w:w="1560" w:type="dxa"/>
          </w:tcPr>
          <w:p w:rsidR="003C53E4" w:rsidRPr="002B144F" w:rsidRDefault="003C53E4" w:rsidP="005B71FD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C53E4" w:rsidRPr="002B144F" w:rsidRDefault="003C53E4" w:rsidP="005B71FD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144F">
              <w:rPr>
                <w:rFonts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3" w:type="dxa"/>
          </w:tcPr>
          <w:p w:rsidR="003C53E4" w:rsidRPr="002B144F" w:rsidRDefault="003C53E4" w:rsidP="005B7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144F">
              <w:rPr>
                <w:rFonts w:eastAsia="TimesNewRomanPSMT" w:cs="Times New Roman"/>
                <w:sz w:val="24"/>
                <w:szCs w:val="24"/>
              </w:rPr>
              <w:t>ТИК Калязинского района</w:t>
            </w:r>
          </w:p>
        </w:tc>
      </w:tr>
    </w:tbl>
    <w:p w:rsidR="000D114A" w:rsidRPr="002B144F" w:rsidRDefault="000D114A" w:rsidP="00D94439">
      <w:pPr>
        <w:tabs>
          <w:tab w:val="left" w:pos="3255"/>
        </w:tabs>
        <w:rPr>
          <w:sz w:val="24"/>
          <w:szCs w:val="24"/>
        </w:rPr>
      </w:pPr>
    </w:p>
    <w:sectPr w:rsidR="000D114A" w:rsidRPr="002B144F" w:rsidSect="00363148">
      <w:headerReference w:type="default" r:id="rId12"/>
      <w:footerReference w:type="even" r:id="rId13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C9" w:rsidRDefault="000D7DC9" w:rsidP="00D75083">
      <w:r>
        <w:separator/>
      </w:r>
    </w:p>
  </w:endnote>
  <w:endnote w:type="continuationSeparator" w:id="0">
    <w:p w:rsidR="000D7DC9" w:rsidRDefault="000D7DC9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B7" w:rsidRDefault="00F81CB7">
    <w:pPr>
      <w:pStyle w:val="a6"/>
      <w:jc w:val="center"/>
    </w:pPr>
  </w:p>
  <w:p w:rsidR="00F81CB7" w:rsidRDefault="00F81C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 w:rsidP="00D77B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D77B5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11E3E" w:rsidRDefault="00511E3E" w:rsidP="0072570A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555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C9" w:rsidRDefault="000D7DC9" w:rsidP="00D75083">
      <w:r>
        <w:separator/>
      </w:r>
    </w:p>
  </w:footnote>
  <w:footnote w:type="continuationSeparator" w:id="0">
    <w:p w:rsidR="000D7DC9" w:rsidRDefault="000D7DC9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>
    <w:pPr>
      <w:pStyle w:val="a4"/>
    </w:pPr>
  </w:p>
  <w:p w:rsidR="00541EA1" w:rsidRDefault="00541E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28C"/>
    <w:multiLevelType w:val="hybridMultilevel"/>
    <w:tmpl w:val="D7323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071A"/>
    <w:multiLevelType w:val="hybridMultilevel"/>
    <w:tmpl w:val="FFE8F87A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F0B"/>
    <w:multiLevelType w:val="hybridMultilevel"/>
    <w:tmpl w:val="F7808072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49B"/>
    <w:multiLevelType w:val="hybridMultilevel"/>
    <w:tmpl w:val="7890B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ED7F5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3FA1"/>
    <w:multiLevelType w:val="hybridMultilevel"/>
    <w:tmpl w:val="33D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D57504"/>
    <w:multiLevelType w:val="hybridMultilevel"/>
    <w:tmpl w:val="62AE31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801057"/>
    <w:multiLevelType w:val="hybridMultilevel"/>
    <w:tmpl w:val="7940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926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516A17"/>
    <w:multiLevelType w:val="hybridMultilevel"/>
    <w:tmpl w:val="7A1040D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059D"/>
    <w:multiLevelType w:val="hybridMultilevel"/>
    <w:tmpl w:val="2868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357EFE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791901"/>
    <w:multiLevelType w:val="hybridMultilevel"/>
    <w:tmpl w:val="D1B45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133548"/>
    <w:multiLevelType w:val="hybridMultilevel"/>
    <w:tmpl w:val="5A8E6C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D25828"/>
    <w:multiLevelType w:val="hybridMultilevel"/>
    <w:tmpl w:val="7648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53D2E"/>
    <w:multiLevelType w:val="multilevel"/>
    <w:tmpl w:val="33D4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46E7"/>
    <w:multiLevelType w:val="hybridMultilevel"/>
    <w:tmpl w:val="EA3240C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 w15:restartNumberingAfterBreak="0">
    <w:nsid w:val="6CA0158B"/>
    <w:multiLevelType w:val="hybridMultilevel"/>
    <w:tmpl w:val="3C5AD2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1471AC"/>
    <w:multiLevelType w:val="multilevel"/>
    <w:tmpl w:val="46489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89E1986"/>
    <w:multiLevelType w:val="multilevel"/>
    <w:tmpl w:val="A8D23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7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24"/>
  </w:num>
  <w:num w:numId="10">
    <w:abstractNumId w:val="5"/>
  </w:num>
  <w:num w:numId="11">
    <w:abstractNumId w:val="22"/>
  </w:num>
  <w:num w:numId="12">
    <w:abstractNumId w:val="12"/>
  </w:num>
  <w:num w:numId="13">
    <w:abstractNumId w:val="26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23"/>
  </w:num>
  <w:num w:numId="25">
    <w:abstractNumId w:val="18"/>
  </w:num>
  <w:num w:numId="26">
    <w:abstractNumId w:val="15"/>
  </w:num>
  <w:num w:numId="27">
    <w:abstractNumId w:val="0"/>
  </w:num>
  <w:num w:numId="28">
    <w:abstractNumId w:val="6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03D3E"/>
    <w:rsid w:val="00042134"/>
    <w:rsid w:val="0004354D"/>
    <w:rsid w:val="00081EEC"/>
    <w:rsid w:val="000A2B04"/>
    <w:rsid w:val="000D114A"/>
    <w:rsid w:val="000D3C53"/>
    <w:rsid w:val="000D4538"/>
    <w:rsid w:val="000D7BEB"/>
    <w:rsid w:val="000D7DC9"/>
    <w:rsid w:val="000E0626"/>
    <w:rsid w:val="00104158"/>
    <w:rsid w:val="00115801"/>
    <w:rsid w:val="00170918"/>
    <w:rsid w:val="00185113"/>
    <w:rsid w:val="001A579D"/>
    <w:rsid w:val="001C6590"/>
    <w:rsid w:val="001D12D9"/>
    <w:rsid w:val="001E6E25"/>
    <w:rsid w:val="00206FE5"/>
    <w:rsid w:val="00210A43"/>
    <w:rsid w:val="00245879"/>
    <w:rsid w:val="002B144F"/>
    <w:rsid w:val="002B2071"/>
    <w:rsid w:val="002B6685"/>
    <w:rsid w:val="002D4150"/>
    <w:rsid w:val="002E0FA6"/>
    <w:rsid w:val="002E25AC"/>
    <w:rsid w:val="00316A81"/>
    <w:rsid w:val="00330BDF"/>
    <w:rsid w:val="00363148"/>
    <w:rsid w:val="0037078C"/>
    <w:rsid w:val="00377F1C"/>
    <w:rsid w:val="0039186D"/>
    <w:rsid w:val="003B66D3"/>
    <w:rsid w:val="003C53E4"/>
    <w:rsid w:val="003E6792"/>
    <w:rsid w:val="004007EC"/>
    <w:rsid w:val="00416C47"/>
    <w:rsid w:val="00424151"/>
    <w:rsid w:val="00436C67"/>
    <w:rsid w:val="004458A5"/>
    <w:rsid w:val="00445E7B"/>
    <w:rsid w:val="00451C9E"/>
    <w:rsid w:val="00492CC0"/>
    <w:rsid w:val="004A2C23"/>
    <w:rsid w:val="004C4DE0"/>
    <w:rsid w:val="004E1576"/>
    <w:rsid w:val="00504201"/>
    <w:rsid w:val="00511E3E"/>
    <w:rsid w:val="00536AA8"/>
    <w:rsid w:val="005416BA"/>
    <w:rsid w:val="00541EA1"/>
    <w:rsid w:val="00554CDB"/>
    <w:rsid w:val="00555688"/>
    <w:rsid w:val="00567D0E"/>
    <w:rsid w:val="005A026C"/>
    <w:rsid w:val="005B71FD"/>
    <w:rsid w:val="005C23F6"/>
    <w:rsid w:val="005E160F"/>
    <w:rsid w:val="006014BA"/>
    <w:rsid w:val="00607560"/>
    <w:rsid w:val="006252B9"/>
    <w:rsid w:val="006541EA"/>
    <w:rsid w:val="00660F44"/>
    <w:rsid w:val="006833EC"/>
    <w:rsid w:val="006A6409"/>
    <w:rsid w:val="006B1F3A"/>
    <w:rsid w:val="0071538F"/>
    <w:rsid w:val="00727156"/>
    <w:rsid w:val="00730BF5"/>
    <w:rsid w:val="00731588"/>
    <w:rsid w:val="00746577"/>
    <w:rsid w:val="00747670"/>
    <w:rsid w:val="007675CF"/>
    <w:rsid w:val="00835D6C"/>
    <w:rsid w:val="00837430"/>
    <w:rsid w:val="00845DA5"/>
    <w:rsid w:val="0086255C"/>
    <w:rsid w:val="0087017C"/>
    <w:rsid w:val="00931E5F"/>
    <w:rsid w:val="00935BDD"/>
    <w:rsid w:val="0095528A"/>
    <w:rsid w:val="00974D78"/>
    <w:rsid w:val="009919CB"/>
    <w:rsid w:val="00996891"/>
    <w:rsid w:val="009A25A9"/>
    <w:rsid w:val="009A3594"/>
    <w:rsid w:val="009B0E85"/>
    <w:rsid w:val="009C5071"/>
    <w:rsid w:val="009F0E22"/>
    <w:rsid w:val="00A240F8"/>
    <w:rsid w:val="00A415C5"/>
    <w:rsid w:val="00A47C80"/>
    <w:rsid w:val="00A54DC7"/>
    <w:rsid w:val="00A73A93"/>
    <w:rsid w:val="00AF0FF9"/>
    <w:rsid w:val="00AF63EC"/>
    <w:rsid w:val="00B36149"/>
    <w:rsid w:val="00B41388"/>
    <w:rsid w:val="00B45F21"/>
    <w:rsid w:val="00BA7BD4"/>
    <w:rsid w:val="00BB6844"/>
    <w:rsid w:val="00BF5239"/>
    <w:rsid w:val="00C030EF"/>
    <w:rsid w:val="00C11339"/>
    <w:rsid w:val="00C12010"/>
    <w:rsid w:val="00C20F54"/>
    <w:rsid w:val="00C41990"/>
    <w:rsid w:val="00CA200D"/>
    <w:rsid w:val="00CA55A3"/>
    <w:rsid w:val="00CA70F2"/>
    <w:rsid w:val="00CA7290"/>
    <w:rsid w:val="00CE044B"/>
    <w:rsid w:val="00CF3E12"/>
    <w:rsid w:val="00D27115"/>
    <w:rsid w:val="00D3593F"/>
    <w:rsid w:val="00D75083"/>
    <w:rsid w:val="00D77B55"/>
    <w:rsid w:val="00D94439"/>
    <w:rsid w:val="00D961A5"/>
    <w:rsid w:val="00DC59FE"/>
    <w:rsid w:val="00DD4D16"/>
    <w:rsid w:val="00DE4286"/>
    <w:rsid w:val="00DE49A0"/>
    <w:rsid w:val="00DF0DAF"/>
    <w:rsid w:val="00E0690D"/>
    <w:rsid w:val="00E50FFA"/>
    <w:rsid w:val="00E5222B"/>
    <w:rsid w:val="00E6497D"/>
    <w:rsid w:val="00E66783"/>
    <w:rsid w:val="00EA122C"/>
    <w:rsid w:val="00EE3373"/>
    <w:rsid w:val="00EF5F63"/>
    <w:rsid w:val="00F005CA"/>
    <w:rsid w:val="00F413DF"/>
    <w:rsid w:val="00F432F2"/>
    <w:rsid w:val="00F433F8"/>
    <w:rsid w:val="00F63070"/>
    <w:rsid w:val="00F63BD0"/>
    <w:rsid w:val="00F73AC5"/>
    <w:rsid w:val="00F81CB7"/>
    <w:rsid w:val="00F83E1A"/>
    <w:rsid w:val="00F975C4"/>
    <w:rsid w:val="00FE4479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2E579-F13C-4958-A03F-45E8CB2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48"/>
  </w:style>
  <w:style w:type="paragraph" w:styleId="1">
    <w:name w:val="heading 1"/>
    <w:basedOn w:val="a"/>
    <w:next w:val="a"/>
    <w:link w:val="10"/>
    <w:uiPriority w:val="9"/>
    <w:qFormat/>
    <w:rsid w:val="00330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511E3E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511E3E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E3E"/>
    <w:rPr>
      <w:rFonts w:eastAsia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511E3E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1E3E"/>
    <w:rPr>
      <w:rFonts w:ascii="Times New Roman" w:hAnsi="Times New Roman" w:cs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C4199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paragraph" w:customStyle="1" w:styleId="iieoia">
    <w:name w:val="iieoi?a"/>
    <w:basedOn w:val="1"/>
    <w:rsid w:val="00330BDF"/>
    <w:pPr>
      <w:keepLines w:val="0"/>
      <w:widowControl w:val="0"/>
      <w:spacing w:before="0" w:line="360" w:lineRule="auto"/>
      <w:ind w:firstLine="709"/>
      <w:jc w:val="both"/>
      <w:outlineLvl w:val="9"/>
    </w:pPr>
    <w:rPr>
      <w:rFonts w:ascii="Times New Roman" w:eastAsia="Times New Roman" w:hAnsi="Times New Roman" w:cs="Times New Roman"/>
      <w:color w:val="auto"/>
      <w:kern w:val="28"/>
      <w:sz w:val="28"/>
      <w:szCs w:val="28"/>
      <w:lang w:val="x-none" w:eastAsia="ru-RU"/>
    </w:rPr>
  </w:style>
  <w:style w:type="paragraph" w:customStyle="1" w:styleId="14-17">
    <w:name w:val="14-17"/>
    <w:basedOn w:val="a"/>
    <w:rsid w:val="00330BDF"/>
    <w:pPr>
      <w:spacing w:line="340" w:lineRule="exact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41</cp:revision>
  <cp:lastPrinted>2024-01-09T07:47:00Z</cp:lastPrinted>
  <dcterms:created xsi:type="dcterms:W3CDTF">2017-03-09T08:38:00Z</dcterms:created>
  <dcterms:modified xsi:type="dcterms:W3CDTF">2024-01-09T07:48:00Z</dcterms:modified>
</cp:coreProperties>
</file>